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D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670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50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</w:t>
      </w:r>
      <w:r w:rsidRPr="009670D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End"/>
    </w:p>
    <w:p w:rsidR="00CE15EF" w:rsidRPr="009670DA" w:rsidRDefault="00CE15EF" w:rsidP="00756E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CE15EF" w:rsidRPr="002C76D8" w:rsidRDefault="00264EBE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инвестиций, потребительской сферы и предпринимательства управления экономики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CE15EF">
        <w:rPr>
          <w:rFonts w:ascii="Times New Roman" w:hAnsi="Times New Roman" w:cs="Times New Roman"/>
          <w:sz w:val="28"/>
          <w:szCs w:val="28"/>
        </w:rPr>
        <w:t>ьного образования Староминский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E15EF" w:rsidRPr="00247D31" w:rsidRDefault="00CE15EF" w:rsidP="00247D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1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</w:t>
      </w:r>
      <w:r w:rsidR="00AB507A" w:rsidRPr="00247D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7D31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="00464662" w:rsidRPr="00247D31">
        <w:rPr>
          <w:rFonts w:ascii="Times New Roman" w:hAnsi="Times New Roman" w:cs="Times New Roman"/>
          <w:sz w:val="28"/>
          <w:szCs w:val="28"/>
        </w:rPr>
        <w:t xml:space="preserve"> </w:t>
      </w:r>
      <w:r w:rsidRPr="00247D31">
        <w:rPr>
          <w:rFonts w:ascii="Times New Roman" w:hAnsi="Times New Roman" w:cs="Times New Roman"/>
          <w:sz w:val="28"/>
          <w:szCs w:val="28"/>
        </w:rPr>
        <w:t>проект</w:t>
      </w:r>
      <w:r w:rsidR="00E20988" w:rsidRPr="00247D3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Староминский район </w:t>
      </w:r>
      <w:r w:rsidR="00247D31" w:rsidRPr="00247D31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</w:t>
      </w:r>
      <w:r w:rsidR="00E20988" w:rsidRPr="00247D31">
        <w:rPr>
          <w:rFonts w:ascii="Times New Roman" w:hAnsi="Times New Roman" w:cs="Times New Roman"/>
          <w:sz w:val="28"/>
          <w:szCs w:val="28"/>
        </w:rPr>
        <w:t>.</w:t>
      </w:r>
    </w:p>
    <w:p w:rsidR="00CE15EF" w:rsidRPr="009C3E55" w:rsidRDefault="00CE15EF" w:rsidP="007A0A3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C3E55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</w:t>
      </w:r>
      <w:r w:rsidR="00AB50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3E5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C3E5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2098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1 ст. 53 Федерального закона от 31.07.2020 № 248-ФЗ «О государственном контроле (надзоре) и муниципальном контроле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8" w:history="1">
        <w:r w:rsidRPr="00681E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проверо</w:t>
        </w:r>
        <w:r w:rsidRPr="00681E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Pr="00681E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ные листы</w:t>
        </w:r>
      </w:hyperlink>
      <w:r w:rsidRPr="00681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списки контрольных вопросов, ответы на которые свидетельствуют о соблюдении или несоблюдении контролируемым лицом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ваний). 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частью 3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от 27 октября 2021 г. № 1844 «Об утверждении требований к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ке, содержанию, общественному обсуждению проектов форм проверочных 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E018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9" w:history="1">
        <w:r w:rsidRPr="00E018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ормы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рочных листов утверждаются нормативными правовыми актами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самоуправления, уполномоченных на осуществление муниципального контроля (вступает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марта 2022 г.). </w:t>
      </w:r>
      <w:proofErr w:type="gramEnd"/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Проблема – невозможность осуществления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1 марта 2022 г. </w:t>
      </w:r>
      <w:r w:rsidRPr="000A4B16">
        <w:rPr>
          <w:rFonts w:ascii="Times New Roman" w:hAnsi="Times New Roman" w:cs="Times New Roman"/>
          <w:sz w:val="28"/>
          <w:szCs w:val="28"/>
        </w:rPr>
        <w:tab/>
      </w:r>
    </w:p>
    <w:p w:rsidR="00CE15EF" w:rsidRPr="001C5A79" w:rsidRDefault="00CE15EF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7D31" w:rsidRDefault="00247D31" w:rsidP="00247D3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664C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 утверждение 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формы пр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верочного листа (списка контрольных вопросов), применяемого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 район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осуществлении му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ниципального жилищного</w:t>
      </w:r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Староминского</w:t>
      </w:r>
      <w:proofErr w:type="spellEnd"/>
      <w:r w:rsidRPr="00366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района.</w:t>
      </w:r>
    </w:p>
    <w:p w:rsidR="00247D31" w:rsidRDefault="00247D31" w:rsidP="00247D3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 xml:space="preserve">Применение проверочных листов, ответы на контрольные вопросы будут свидетельствовать о соблюдении или несоблюдении контролируемым лицом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обязательных требований.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47D31" w:rsidRPr="003664CC" w:rsidRDefault="00247D31" w:rsidP="00247D3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3664CC">
        <w:rPr>
          <w:rFonts w:ascii="Times New Roman" w:hAnsi="Times New Roman" w:cs="Times New Roman"/>
          <w:color w:val="000000"/>
          <w:spacing w:val="-2"/>
          <w:sz w:val="28"/>
          <w:szCs w:val="29"/>
        </w:rPr>
        <w:t>Проектом муниципального нормативного правового акта предусматрив</w:t>
      </w:r>
      <w:r w:rsidRPr="003664CC">
        <w:rPr>
          <w:rFonts w:ascii="Times New Roman" w:hAnsi="Times New Roman" w:cs="Times New Roman"/>
          <w:color w:val="000000"/>
          <w:spacing w:val="-2"/>
          <w:sz w:val="28"/>
          <w:szCs w:val="29"/>
        </w:rPr>
        <w:t>а</w:t>
      </w:r>
      <w:r w:rsidRPr="003664CC">
        <w:rPr>
          <w:rFonts w:ascii="Times New Roman" w:hAnsi="Times New Roman" w:cs="Times New Roman"/>
          <w:color w:val="000000"/>
          <w:spacing w:val="-2"/>
          <w:sz w:val="28"/>
          <w:szCs w:val="29"/>
        </w:rPr>
        <w:t>ется решение следующей проблемы:</w:t>
      </w: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утверждение 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формы проверочного листа (списка контрольных вопросов), применяемого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района.</w:t>
      </w:r>
    </w:p>
    <w:p w:rsidR="004E7441" w:rsidRPr="00294398" w:rsidRDefault="00C73D5D" w:rsidP="007A0A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1.6.1. </w:t>
      </w:r>
      <w:r w:rsidRPr="007868A6">
        <w:rPr>
          <w:rFonts w:ascii="Times New Roman" w:hAnsi="Times New Roman" w:cs="Times New Roman"/>
          <w:sz w:val="28"/>
          <w:szCs w:val="28"/>
        </w:rPr>
        <w:t>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47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D31" w:rsidRPr="000E249C" w:rsidRDefault="00247D31" w:rsidP="00247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249C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не содержит пол</w:t>
      </w:r>
      <w:r w:rsidRPr="000E249C">
        <w:rPr>
          <w:rFonts w:ascii="Times New Roman" w:hAnsi="Times New Roman" w:cs="Times New Roman"/>
          <w:sz w:val="28"/>
          <w:szCs w:val="28"/>
        </w:rPr>
        <w:t>о</w:t>
      </w:r>
      <w:r w:rsidRPr="000E249C">
        <w:rPr>
          <w:rFonts w:ascii="Times New Roman" w:hAnsi="Times New Roman" w:cs="Times New Roman"/>
          <w:sz w:val="28"/>
          <w:szCs w:val="28"/>
        </w:rPr>
        <w:t>жения, устанавливающие новые обязанности для субъектов предпринимател</w:t>
      </w:r>
      <w:r w:rsidRPr="000E249C">
        <w:rPr>
          <w:rFonts w:ascii="Times New Roman" w:hAnsi="Times New Roman" w:cs="Times New Roman"/>
          <w:sz w:val="28"/>
          <w:szCs w:val="28"/>
        </w:rPr>
        <w:t>ь</w:t>
      </w:r>
      <w:r w:rsidRPr="000E249C">
        <w:rPr>
          <w:rFonts w:ascii="Times New Roman" w:hAnsi="Times New Roman" w:cs="Times New Roman"/>
          <w:sz w:val="28"/>
          <w:szCs w:val="28"/>
        </w:rPr>
        <w:t>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49C">
        <w:rPr>
          <w:rFonts w:ascii="Times New Roman" w:hAnsi="Times New Roman" w:cs="Times New Roman"/>
          <w:sz w:val="28"/>
          <w:szCs w:val="28"/>
        </w:rPr>
        <w:t xml:space="preserve"> и положения, изменяющие ранее предусмотренные муниципальными нормативными правовыми актами мун</w:t>
      </w:r>
      <w:r w:rsidRPr="000E249C">
        <w:rPr>
          <w:rFonts w:ascii="Times New Roman" w:hAnsi="Times New Roman" w:cs="Times New Roman"/>
          <w:sz w:val="28"/>
          <w:szCs w:val="28"/>
        </w:rPr>
        <w:t>и</w:t>
      </w:r>
      <w:r w:rsidRPr="000E249C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0E249C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</w:t>
      </w:r>
      <w:r w:rsidRPr="000E249C">
        <w:rPr>
          <w:rFonts w:ascii="Times New Roman" w:hAnsi="Times New Roman" w:cs="Times New Roman"/>
          <w:sz w:val="28"/>
          <w:szCs w:val="28"/>
        </w:rPr>
        <w:t>д</w:t>
      </w:r>
      <w:r w:rsidRPr="000E249C">
        <w:rPr>
          <w:rFonts w:ascii="Times New Roman" w:hAnsi="Times New Roman" w:cs="Times New Roman"/>
          <w:sz w:val="28"/>
          <w:szCs w:val="28"/>
        </w:rPr>
        <w:t>принимательской и иной экономической деятельности, однако подлежит оце</w:t>
      </w:r>
      <w:r w:rsidRPr="000E249C">
        <w:rPr>
          <w:rFonts w:ascii="Times New Roman" w:hAnsi="Times New Roman" w:cs="Times New Roman"/>
          <w:sz w:val="28"/>
          <w:szCs w:val="28"/>
        </w:rPr>
        <w:t>н</w:t>
      </w:r>
      <w:r w:rsidRPr="000E249C">
        <w:rPr>
          <w:rFonts w:ascii="Times New Roman" w:hAnsi="Times New Roman" w:cs="Times New Roman"/>
          <w:sz w:val="28"/>
          <w:szCs w:val="28"/>
        </w:rPr>
        <w:t>ке регулирующего воздействия по общим основаниям.</w:t>
      </w:r>
      <w:proofErr w:type="gramEnd"/>
    </w:p>
    <w:p w:rsidR="00CE15EF" w:rsidRPr="002C76D8" w:rsidRDefault="00CE15EF" w:rsidP="00D4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736E">
        <w:rPr>
          <w:rFonts w:ascii="Times New Roman" w:hAnsi="Times New Roman" w:cs="Times New Roman"/>
          <w:sz w:val="28"/>
          <w:szCs w:val="28"/>
        </w:rPr>
        <w:t xml:space="preserve">.И.О. </w:t>
      </w:r>
      <w:proofErr w:type="spellStart"/>
      <w:r w:rsidR="009C3E55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="00A5736E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736E"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потребительской сферы и предпринимательства управления экономики </w:t>
      </w:r>
      <w:r w:rsidRPr="002C76D8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Староминский 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3519">
        <w:rPr>
          <w:rFonts w:ascii="Times New Roman" w:hAnsi="Times New Roman" w:cs="Times New Roman"/>
          <w:sz w:val="28"/>
          <w:szCs w:val="28"/>
        </w:rPr>
        <w:t>.</w:t>
      </w:r>
    </w:p>
    <w:p w:rsidR="00CE15EF" w:rsidRPr="00A5736E" w:rsidRDefault="00CE15EF" w:rsidP="00A5736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Тел: 8-861-53</w:t>
      </w:r>
      <w:r w:rsidRPr="002C76D8">
        <w:rPr>
          <w:rFonts w:ascii="Times New Roman" w:hAnsi="Times New Roman" w:cs="Times New Roman"/>
          <w:sz w:val="28"/>
          <w:szCs w:val="28"/>
        </w:rPr>
        <w:t>-</w:t>
      </w:r>
      <w:r w:rsidR="00A5736E">
        <w:rPr>
          <w:rFonts w:ascii="Times New Roman" w:hAnsi="Times New Roman" w:cs="Times New Roman"/>
          <w:sz w:val="28"/>
          <w:szCs w:val="28"/>
        </w:rPr>
        <w:t>4-31-48</w:t>
      </w:r>
      <w:r w:rsidRPr="002C76D8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2C76D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C76D8">
        <w:rPr>
          <w:rFonts w:ascii="Times New Roman" w:hAnsi="Times New Roman" w:cs="Times New Roman"/>
          <w:sz w:val="28"/>
          <w:szCs w:val="28"/>
        </w:rPr>
        <w:t xml:space="preserve">. почты: </w:t>
      </w:r>
      <w:r w:rsidR="00A43474" w:rsidRPr="00A43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5736E" w:rsidRPr="00A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taromadm@yandex.ru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247D31" w:rsidRDefault="00247D31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73">
        <w:rPr>
          <w:rFonts w:ascii="Times New Roman" w:hAnsi="Times New Roman" w:cs="Times New Roman"/>
          <w:sz w:val="28"/>
          <w:szCs w:val="28"/>
        </w:rPr>
        <w:t>Невозможность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1 марта 2022 г.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47D31" w:rsidRDefault="00247D31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73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AF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973">
        <w:rPr>
          <w:rFonts w:ascii="Times New Roman" w:hAnsi="Times New Roman" w:cs="Times New Roman"/>
          <w:sz w:val="28"/>
          <w:szCs w:val="28"/>
        </w:rPr>
        <w:t xml:space="preserve">района с 1 марта 2022 г. </w:t>
      </w:r>
      <w:r w:rsidRPr="00AF0973">
        <w:rPr>
          <w:rFonts w:ascii="Times New Roman" w:hAnsi="Times New Roman" w:cs="Times New Roman"/>
          <w:sz w:val="28"/>
          <w:szCs w:val="28"/>
        </w:rPr>
        <w:tab/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47D31" w:rsidRPr="003664CC" w:rsidRDefault="00247D31" w:rsidP="00247D3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AF0973">
        <w:rPr>
          <w:rFonts w:ascii="Times New Roman" w:hAnsi="Times New Roman" w:cs="Times New Roman"/>
          <w:color w:val="000000"/>
          <w:spacing w:val="-2"/>
          <w:sz w:val="28"/>
          <w:szCs w:val="29"/>
        </w:rPr>
        <w:t>Проектом муниципального нормативного правового акта предусматрив</w:t>
      </w:r>
      <w:r w:rsidRPr="00AF0973">
        <w:rPr>
          <w:rFonts w:ascii="Times New Roman" w:hAnsi="Times New Roman" w:cs="Times New Roman"/>
          <w:color w:val="000000"/>
          <w:spacing w:val="-2"/>
          <w:sz w:val="28"/>
          <w:szCs w:val="29"/>
        </w:rPr>
        <w:t>а</w:t>
      </w:r>
      <w:r w:rsidRPr="00AF0973">
        <w:rPr>
          <w:rFonts w:ascii="Times New Roman" w:hAnsi="Times New Roman" w:cs="Times New Roman"/>
          <w:color w:val="000000"/>
          <w:spacing w:val="-2"/>
          <w:sz w:val="28"/>
          <w:szCs w:val="29"/>
        </w:rPr>
        <w:t>ется</w:t>
      </w:r>
      <w:r w:rsidRPr="003664CC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решение следующей проблемы:</w:t>
      </w: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утверждение 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формы проверочного листа (списка контрольных вопросов), применяемого администрацией муниципал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образования Староминский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 на территории 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роминск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297638" w:rsidRPr="00FA7700" w:rsidRDefault="00297638" w:rsidP="0029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297638" w:rsidRPr="00FA7700" w:rsidRDefault="00297638" w:rsidP="00297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29763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247D3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>2.5. Причины  возникновения проблемы и факторы, поддерживающие ее существование:</w:t>
      </w:r>
    </w:p>
    <w:p w:rsidR="00E476A8" w:rsidRPr="006E287D" w:rsidRDefault="00E476A8" w:rsidP="00E47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3BC0">
        <w:rPr>
          <w:rFonts w:ascii="Times New Roman" w:hAnsi="Times New Roman" w:cs="Times New Roman"/>
          <w:sz w:val="28"/>
          <w:szCs w:val="28"/>
        </w:rPr>
        <w:t>В соответствии с частью 3 Постановления правительства Российской Ф</w:t>
      </w:r>
      <w:r w:rsidRPr="00E93BC0">
        <w:rPr>
          <w:rFonts w:ascii="Times New Roman" w:hAnsi="Times New Roman" w:cs="Times New Roman"/>
          <w:sz w:val="28"/>
          <w:szCs w:val="28"/>
        </w:rPr>
        <w:t>е</w:t>
      </w:r>
      <w:r w:rsidRPr="00E93BC0">
        <w:rPr>
          <w:rFonts w:ascii="Times New Roman" w:hAnsi="Times New Roman" w:cs="Times New Roman"/>
          <w:sz w:val="28"/>
          <w:szCs w:val="28"/>
        </w:rPr>
        <w:t>дерации от 27 октября 2021 г. № 1844 «Об утверждении требований к разрабо</w:t>
      </w:r>
      <w:r w:rsidRPr="00E93BC0">
        <w:rPr>
          <w:rFonts w:ascii="Times New Roman" w:hAnsi="Times New Roman" w:cs="Times New Roman"/>
          <w:sz w:val="28"/>
          <w:szCs w:val="28"/>
        </w:rPr>
        <w:t>т</w:t>
      </w:r>
      <w:r w:rsidRPr="00E93BC0">
        <w:rPr>
          <w:rFonts w:ascii="Times New Roman" w:hAnsi="Times New Roman" w:cs="Times New Roman"/>
          <w:sz w:val="28"/>
          <w:szCs w:val="28"/>
        </w:rPr>
        <w:t>ке, содержанию</w:t>
      </w:r>
      <w:r>
        <w:rPr>
          <w:rFonts w:ascii="Times New Roman" w:hAnsi="Times New Roman" w:cs="Times New Roman"/>
          <w:sz w:val="28"/>
          <w:szCs w:val="28"/>
        </w:rPr>
        <w:t>, общественному обсуждению проектов форм проверочных ли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E018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10" w:history="1">
        <w:r w:rsidRPr="00E018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ормы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рочных листов утверждаются нормативными правовыми актами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самоуправления, уполномоченных на осуществление муниципального контроля (вступает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марта 2022 г.). </w:t>
      </w:r>
      <w:proofErr w:type="gramEnd"/>
    </w:p>
    <w:p w:rsidR="004E7441" w:rsidRPr="00A528F6" w:rsidRDefault="00CE15EF" w:rsidP="004E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2.6. </w:t>
      </w:r>
      <w:r w:rsidR="004E7441" w:rsidRPr="00A528F6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4E744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4E7441" w:rsidRPr="00A528F6">
        <w:rPr>
          <w:rFonts w:ascii="Times New Roman" w:hAnsi="Times New Roman" w:cs="Times New Roman"/>
          <w:sz w:val="28"/>
          <w:szCs w:val="28"/>
        </w:rPr>
        <w:t>район:</w:t>
      </w:r>
    </w:p>
    <w:p w:rsidR="004E7441" w:rsidRPr="00A528F6" w:rsidRDefault="004E7441" w:rsidP="004E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F205A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2C76D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C76D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Каждый субъект Российской Федерации самостоятельно </w:t>
      </w:r>
      <w:r w:rsidR="0047539B">
        <w:rPr>
          <w:rFonts w:ascii="Times New Roman" w:hAnsi="Times New Roman" w:cs="Times New Roman"/>
          <w:sz w:val="28"/>
          <w:szCs w:val="28"/>
        </w:rPr>
        <w:t>определяет</w:t>
      </w:r>
      <w:r w:rsidRPr="002C76D8">
        <w:rPr>
          <w:rFonts w:ascii="Times New Roman" w:hAnsi="Times New Roman" w:cs="Times New Roman"/>
          <w:sz w:val="28"/>
          <w:szCs w:val="28"/>
        </w:rPr>
        <w:t xml:space="preserve"> порядки в соответствие с действующим законодательством.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47539B" w:rsidRDefault="00CE15EF" w:rsidP="0047539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Источником информации являются официальные сайты Правительства РФ, </w:t>
      </w:r>
      <w:r w:rsidR="008D5BE3" w:rsidRPr="00F205A2">
        <w:rPr>
          <w:rFonts w:ascii="Times New Roman" w:hAnsi="Times New Roman" w:cs="Times New Roman"/>
          <w:sz w:val="28"/>
          <w:szCs w:val="28"/>
        </w:rPr>
        <w:t>Консультант Плюс.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Данные отсутствуют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E15EF" w:rsidRPr="004E744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E476A8" w:rsidRPr="004E7441" w:rsidTr="00E476A8">
        <w:trPr>
          <w:trHeight w:val="237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8" w:rsidRPr="0083370A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37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формы проверочного листа (списка контрольных вопросов), применя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мого при осуществлении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жилищного контроля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территории 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Староминск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ий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район.</w:t>
            </w:r>
          </w:p>
          <w:p w:rsidR="00E476A8" w:rsidRPr="006E287D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Применение пров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рочных листов, отв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ты на контрольные вопросы будут свидетельствовать о соблюдении или несоблюдении контролируемым лицом обяз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1) с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вступления в силу проекта постановления</w:t>
            </w: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1) не нуждается в мониторинге </w:t>
            </w: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2C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A8" w:rsidRPr="004E7441" w:rsidRDefault="00E476A8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F10" w:rsidRDefault="00594F10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D8">
        <w:rPr>
          <w:rFonts w:ascii="Times New Roman" w:hAnsi="Times New Roman" w:cs="Times New Roman"/>
          <w:sz w:val="28"/>
          <w:szCs w:val="28"/>
        </w:rPr>
        <w:t>целей:  </w:t>
      </w:r>
    </w:p>
    <w:p w:rsidR="00E476A8" w:rsidRPr="00E476A8" w:rsidRDefault="00E476A8" w:rsidP="00E476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hyperlink r:id="rId11" w:history="1">
        <w:r w:rsidRPr="00E476A8">
          <w:rPr>
            <w:rStyle w:val="a6"/>
            <w:rFonts w:ascii="Times New Roman" w:eastAsia="Franklin Gothic Medium" w:hAnsi="Times New Roman"/>
            <w:color w:val="000000" w:themeColor="text1"/>
            <w:sz w:val="28"/>
            <w:szCs w:val="28"/>
            <w:u w:val="none"/>
            <w:lang w:bidi="ru-RU"/>
          </w:rPr>
          <w:t>часть 1 статьи 53</w:t>
        </w:r>
      </w:hyperlink>
      <w:r w:rsidRPr="00E476A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Федерального закона от 31 июля   2020 г. № 248-ФЗ «О государственном контроле (надзоре) и муниципальном контроле в Российской Федерации»;</w:t>
      </w:r>
    </w:p>
    <w:p w:rsidR="00E476A8" w:rsidRDefault="00E476A8" w:rsidP="00E476A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hyperlink r:id="rId12" w:history="1">
        <w:r w:rsidRPr="00E476A8">
          <w:rPr>
            <w:rStyle w:val="a6"/>
            <w:rFonts w:ascii="Times New Roman" w:eastAsia="Franklin Gothic Medium" w:hAnsi="Times New Roman"/>
            <w:color w:val="000000" w:themeColor="text1"/>
            <w:sz w:val="28"/>
            <w:szCs w:val="28"/>
            <w:u w:val="none"/>
            <w:lang w:bidi="ru-RU"/>
          </w:rPr>
          <w:t>постановление</w:t>
        </w:r>
      </w:hyperlink>
      <w:r w:rsidRPr="00E476A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Правительства Российской Федерации от 27 октября 2021 г. № 1844 «Об у</w:t>
      </w:r>
      <w:r w:rsidRPr="008337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тверждении требований к разработке, содержанию, общественн</w:t>
      </w:r>
      <w:r w:rsidRPr="008337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Pr="008337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му обсуждению проектов форм проверочных листов, утверждению, примен</w:t>
      </w:r>
      <w:r w:rsidRPr="008337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Pr="008337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D5BE3" w:rsidRPr="004E7441" w:rsidRDefault="008D5BE3" w:rsidP="002C76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CE15EF" w:rsidRPr="00805286" w:rsidTr="007C1429">
        <w:trPr>
          <w:jc w:val="center"/>
        </w:trPr>
        <w:tc>
          <w:tcPr>
            <w:tcW w:w="3274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E476A8" w:rsidRPr="004E7441" w:rsidTr="00E476A8">
        <w:trPr>
          <w:trHeight w:val="2231"/>
          <w:jc w:val="center"/>
        </w:trPr>
        <w:tc>
          <w:tcPr>
            <w:tcW w:w="3274" w:type="dxa"/>
            <w:vAlign w:val="center"/>
          </w:tcPr>
          <w:p w:rsidR="00E476A8" w:rsidRPr="0083370A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3370A">
              <w:rPr>
                <w:rFonts w:ascii="Times New Roman" w:hAnsi="Times New Roman" w:cs="Times New Roman"/>
                <w:sz w:val="24"/>
                <w:szCs w:val="24"/>
              </w:rPr>
              <w:t>утверд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3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проверочного листа (списка контрольных вопросов), применя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мого при осуществлении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жилищного контроля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территории 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Староминск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ий</w:t>
            </w:r>
            <w:r w:rsidRPr="008337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район.</w:t>
            </w:r>
          </w:p>
          <w:p w:rsidR="00E476A8" w:rsidRPr="006E287D" w:rsidRDefault="00E476A8" w:rsidP="00E476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Применение пров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рочных листов, отв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ты на контрольные вопросы будут свидетельствовать о соблюдении или несоблюдении контролируемым лицом обяз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337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тельных требований.</w:t>
            </w:r>
          </w:p>
        </w:tc>
        <w:tc>
          <w:tcPr>
            <w:tcW w:w="2451" w:type="dxa"/>
          </w:tcPr>
          <w:p w:rsidR="00E476A8" w:rsidRPr="00EB7BEE" w:rsidRDefault="00E476A8" w:rsidP="00594F10">
            <w:pPr>
              <w:pStyle w:val="a7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E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Староминский район </w:t>
            </w:r>
            <w:r w:rsidR="00EB7BEE" w:rsidRPr="00EB7BEE">
              <w:rPr>
                <w:rFonts w:ascii="Times New Roman" w:hAnsi="Times New Roman" w:cs="Times New Roman"/>
                <w:sz w:val="24"/>
                <w:szCs w:val="24"/>
              </w:rPr>
      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</w:t>
            </w:r>
          </w:p>
        </w:tc>
        <w:tc>
          <w:tcPr>
            <w:tcW w:w="1940" w:type="dxa"/>
            <w:gridSpan w:val="2"/>
            <w:vAlign w:val="center"/>
          </w:tcPr>
          <w:p w:rsidR="00E476A8" w:rsidRPr="00805286" w:rsidRDefault="00E476A8" w:rsidP="004E7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E476A8" w:rsidRPr="00805286" w:rsidRDefault="00EB7BEE" w:rsidP="00BB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476A8"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6A8" w:rsidRPr="00805286">
              <w:rPr>
                <w:rFonts w:ascii="Times New Roman" w:hAnsi="Times New Roman" w:cs="Times New Roman"/>
                <w:sz w:val="24"/>
                <w:szCs w:val="24"/>
              </w:rPr>
              <w:t>г. – принято постановление администрации муниципального образования Староминский район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Отсутствует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0"/>
            <w:bookmarkEnd w:id="1"/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4.2. Количество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4.3. Источники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636931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101CB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7565D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94F10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 меняются</w:t>
      </w: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559"/>
        <w:gridCol w:w="1984"/>
      </w:tblGrid>
      <w:tr w:rsidR="00CE15EF" w:rsidRPr="00646692" w:rsidTr="003263B5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EB7BEE">
            <w:pPr>
              <w:pStyle w:val="a7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5.5.Оценка изменения потребностей в других ресурсах</w:t>
            </w:r>
          </w:p>
        </w:tc>
      </w:tr>
      <w:tr w:rsidR="00CE15EF" w:rsidRPr="00646692" w:rsidTr="003263B5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594F1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Староминский  район</w:t>
            </w:r>
          </w:p>
        </w:tc>
      </w:tr>
      <w:tr w:rsidR="00EB7BEE" w:rsidRPr="00646692" w:rsidTr="003263B5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3263B5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существлении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жилищного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контроля на террит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рии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Староминск</w:t>
            </w:r>
            <w:r w:rsidR="003263B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ий </w:t>
            </w:r>
            <w:r w:rsidRPr="00C271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56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новая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EB7B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Pr="00C271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 мун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EB7BEE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</w:t>
            </w:r>
            <w:r w:rsidRPr="00EB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Староминский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56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1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56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17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8"/>
      <w:bookmarkEnd w:id="2"/>
      <w:r w:rsidRPr="002C76D8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Дополнительные расходы (доходы)  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CE15EF" w:rsidRPr="00646692" w:rsidTr="00363F07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13" w:anchor="Par248" w:history="1">
              <w:r w:rsidRPr="00646692">
                <w:rPr>
                  <w:rStyle w:val="a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CE15EF" w:rsidRPr="00646692" w:rsidTr="00CD0483">
        <w:trPr>
          <w:trHeight w:val="48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F572D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EF" w:rsidRPr="00646692" w:rsidTr="00363F07">
        <w:trPr>
          <w:trHeight w:val="748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689"/>
        </w:trPr>
        <w:tc>
          <w:tcPr>
            <w:tcW w:w="3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557"/>
        </w:trPr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Возможные доходы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409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119"/>
        <w:gridCol w:w="1843"/>
        <w:gridCol w:w="1275"/>
      </w:tblGrid>
      <w:tr w:rsidR="00CE15EF" w:rsidRPr="00646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</w:tr>
      <w:tr w:rsidR="00CE15EF" w:rsidRPr="00646692" w:rsidTr="00840738">
        <w:trPr>
          <w:trHeight w:val="431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D0631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CE15EF" w:rsidRPr="002C76D8" w:rsidRDefault="00CD048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C762A">
        <w:rPr>
          <w:rFonts w:ascii="Times New Roman" w:hAnsi="Times New Roman" w:cs="Times New Roman"/>
          <w:sz w:val="28"/>
          <w:szCs w:val="28"/>
        </w:rPr>
        <w:t>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Законодательство РФ и Краснодарского края</w:t>
      </w:r>
    </w:p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E15EF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92" w:rsidRPr="00646692" w:rsidRDefault="00646692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B7BEE" w:rsidRPr="00646692" w:rsidTr="00100D4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E" w:rsidRPr="00646692" w:rsidRDefault="00EB7BEE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EE" w:rsidRPr="00C27171" w:rsidRDefault="00EB7BEE" w:rsidP="00EB7B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C2717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EB7BEE">
              <w:rPr>
                <w:rFonts w:ascii="Times New Roman" w:hAnsi="Times New Roman" w:cs="Times New Roman"/>
                <w:sz w:val="24"/>
                <w:szCs w:val="24"/>
              </w:rPr>
      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EE" w:rsidRPr="00646692" w:rsidRDefault="00EB7BEE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885305" w:rsidP="00E209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Par173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646692" w:rsidRPr="00646692" w:rsidRDefault="00646692" w:rsidP="00DD7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риск неполучения поддержки субъектами МСП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Выбор варианта 1 правового регулирования сделан исходя из оценки возможности достижения заявленных целей</w:t>
      </w:r>
      <w:r w:rsidR="00CD0483">
        <w:rPr>
          <w:rFonts w:ascii="Times New Roman" w:hAnsi="Times New Roman" w:cs="Times New Roman"/>
          <w:sz w:val="28"/>
          <w:szCs w:val="28"/>
        </w:rPr>
        <w:t>,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размера и оценки рисков неблагоприятных последствий</w:t>
      </w:r>
      <w:r w:rsidR="00CD0483">
        <w:rPr>
          <w:rFonts w:ascii="Times New Roman" w:hAnsi="Times New Roman" w:cs="Times New Roman"/>
          <w:sz w:val="28"/>
          <w:szCs w:val="28"/>
        </w:rPr>
        <w:t>.</w:t>
      </w:r>
    </w:p>
    <w:p w:rsidR="00EB7BEE" w:rsidRPr="00CD6737" w:rsidRDefault="00EB7BEE" w:rsidP="0032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37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</w:t>
      </w:r>
      <w:proofErr w:type="gramStart"/>
      <w:r w:rsidRPr="00CD6737">
        <w:rPr>
          <w:rFonts w:ascii="Times New Roman" w:hAnsi="Times New Roman" w:cs="Times New Roman"/>
          <w:sz w:val="28"/>
          <w:szCs w:val="28"/>
        </w:rPr>
        <w:t>Выбор варианта правового регул</w:t>
      </w:r>
      <w:r w:rsidRPr="00CD6737">
        <w:rPr>
          <w:rFonts w:ascii="Times New Roman" w:hAnsi="Times New Roman" w:cs="Times New Roman"/>
          <w:sz w:val="28"/>
          <w:szCs w:val="28"/>
        </w:rPr>
        <w:t>и</w:t>
      </w:r>
      <w:r w:rsidRPr="00CD6737">
        <w:rPr>
          <w:rFonts w:ascii="Times New Roman" w:hAnsi="Times New Roman" w:cs="Times New Roman"/>
          <w:sz w:val="28"/>
          <w:szCs w:val="28"/>
        </w:rPr>
        <w:t xml:space="preserve">рования обусловлен необходимостью принятия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 ра</w:t>
      </w:r>
      <w:r w:rsidRPr="00EB7BEE">
        <w:rPr>
          <w:rFonts w:ascii="Times New Roman" w:hAnsi="Times New Roman" w:cs="Times New Roman"/>
          <w:sz w:val="28"/>
          <w:szCs w:val="28"/>
        </w:rPr>
        <w:t xml:space="preserve">йон </w:t>
      </w:r>
      <w:r w:rsidRPr="00EB7BEE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</w:t>
      </w:r>
      <w:r w:rsidRPr="00EB7B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так 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позволит осуществлять муниципальный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жилищный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контроль на территории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ий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район.</w:t>
      </w:r>
      <w:proofErr w:type="gramEnd"/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6737">
        <w:rPr>
          <w:rFonts w:ascii="Times New Roman" w:hAnsi="Times New Roman" w:cs="Times New Roman"/>
          <w:sz w:val="28"/>
          <w:szCs w:val="28"/>
        </w:rPr>
        <w:t>Выя</w:t>
      </w:r>
      <w:r w:rsidRPr="00CD6737">
        <w:rPr>
          <w:rFonts w:ascii="Times New Roman" w:hAnsi="Times New Roman" w:cs="Times New Roman"/>
          <w:sz w:val="28"/>
          <w:szCs w:val="28"/>
        </w:rPr>
        <w:t>в</w:t>
      </w:r>
      <w:r w:rsidRPr="00CD6737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регулирования.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9.8. </w:t>
      </w:r>
      <w:r w:rsidRPr="008959B8">
        <w:rPr>
          <w:rFonts w:ascii="Times New Roman" w:hAnsi="Times New Roman" w:cs="Times New Roman"/>
          <w:sz w:val="28"/>
          <w:szCs w:val="28"/>
        </w:rPr>
        <w:t xml:space="preserve">Детальное описание предлагаемого варианта решения проблемы: </w:t>
      </w:r>
    </w:p>
    <w:p w:rsidR="00EB7BEE" w:rsidRDefault="00EB7BEE" w:rsidP="002C76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D6737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Использование 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проверочного листа (списка контрольных вопросов)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</w:t>
      </w:r>
      <w:r w:rsidRPr="00CD67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50E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 на территории 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3263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тароминский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76D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3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Ориентировочно </w:t>
      </w:r>
      <w:r w:rsidR="00EB7BEE">
        <w:rPr>
          <w:rFonts w:ascii="Times New Roman" w:hAnsi="Times New Roman" w:cs="Times New Roman"/>
          <w:sz w:val="28"/>
          <w:szCs w:val="28"/>
        </w:rPr>
        <w:t>март</w:t>
      </w:r>
      <w:r w:rsidRPr="000D2403">
        <w:rPr>
          <w:rFonts w:ascii="Times New Roman" w:hAnsi="Times New Roman" w:cs="Times New Roman"/>
          <w:sz w:val="28"/>
          <w:szCs w:val="28"/>
        </w:rPr>
        <w:t xml:space="preserve"> 20</w:t>
      </w:r>
      <w:r w:rsidR="00B64550" w:rsidRPr="000D2403">
        <w:rPr>
          <w:rFonts w:ascii="Times New Roman" w:hAnsi="Times New Roman" w:cs="Times New Roman"/>
          <w:sz w:val="28"/>
          <w:szCs w:val="28"/>
        </w:rPr>
        <w:t>2</w:t>
      </w:r>
      <w:r w:rsidR="00CD0483" w:rsidRPr="000D2403">
        <w:rPr>
          <w:rFonts w:ascii="Times New Roman" w:hAnsi="Times New Roman" w:cs="Times New Roman"/>
          <w:sz w:val="28"/>
          <w:szCs w:val="28"/>
        </w:rPr>
        <w:t>2</w:t>
      </w:r>
      <w:r w:rsidRPr="000D240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C76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0D240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15EF" w:rsidRPr="002C76D8">
        <w:rPr>
          <w:rFonts w:ascii="Times New Roman" w:hAnsi="Times New Roman" w:cs="Times New Roman"/>
          <w:sz w:val="28"/>
          <w:szCs w:val="28"/>
        </w:rPr>
        <w:t>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464662" w:rsidRDefault="00EB7BEE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464662" w:rsidRDefault="00464662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F55948" w:rsidRDefault="008959B8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4C762A" w:rsidRDefault="00056F8A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Н</w:t>
      </w:r>
      <w:r w:rsidR="00CE15EF" w:rsidRPr="004C762A">
        <w:rPr>
          <w:rFonts w:ascii="Times New Roman" w:hAnsi="Times New Roman" w:cs="Times New Roman"/>
          <w:sz w:val="28"/>
          <w:szCs w:val="28"/>
        </w:rPr>
        <w:t>ачальник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отдела инвестиций,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потребительской сферы и предпринимательства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 xml:space="preserve">управления экономики  </w:t>
      </w:r>
      <w:r w:rsidR="00CE15EF" w:rsidRPr="004C762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E15EF" w:rsidRPr="002C76D8" w:rsidRDefault="00CE15EF" w:rsidP="000E68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муниципального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</w:t>
      </w:r>
      <w:r w:rsidRPr="004C762A">
        <w:rPr>
          <w:rFonts w:ascii="Times New Roman" w:hAnsi="Times New Roman" w:cs="Times New Roman"/>
          <w:sz w:val="28"/>
          <w:szCs w:val="28"/>
        </w:rPr>
        <w:t xml:space="preserve">образования Староминский </w:t>
      </w:r>
      <w:r w:rsidR="008959B8" w:rsidRPr="004C762A">
        <w:rPr>
          <w:rFonts w:ascii="Times New Roman" w:hAnsi="Times New Roman" w:cs="Times New Roman"/>
          <w:sz w:val="28"/>
          <w:szCs w:val="28"/>
        </w:rPr>
        <w:t>район</w:t>
      </w:r>
      <w:r w:rsidR="008959B8">
        <w:rPr>
          <w:rFonts w:ascii="Times New Roman" w:hAnsi="Times New Roman" w:cs="Times New Roman"/>
          <w:sz w:val="28"/>
          <w:szCs w:val="28"/>
        </w:rPr>
        <w:t xml:space="preserve">                        О.В.</w:t>
      </w:r>
      <w:r w:rsidR="003D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8A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sectPr w:rsidR="00CE15EF" w:rsidRPr="002C76D8" w:rsidSect="00AE0D48">
      <w:headerReference w:type="default" r:id="rId14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A8" w:rsidRDefault="00E476A8" w:rsidP="005C50C6">
      <w:pPr>
        <w:spacing w:after="0" w:line="240" w:lineRule="auto"/>
      </w:pPr>
      <w:r>
        <w:separator/>
      </w:r>
    </w:p>
  </w:endnote>
  <w:endnote w:type="continuationSeparator" w:id="0">
    <w:p w:rsidR="00E476A8" w:rsidRDefault="00E476A8" w:rsidP="005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A8" w:rsidRDefault="00E476A8" w:rsidP="005C50C6">
      <w:pPr>
        <w:spacing w:after="0" w:line="240" w:lineRule="auto"/>
      </w:pPr>
      <w:r>
        <w:separator/>
      </w:r>
    </w:p>
  </w:footnote>
  <w:footnote w:type="continuationSeparator" w:id="0">
    <w:p w:rsidR="00E476A8" w:rsidRDefault="00E476A8" w:rsidP="005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A8" w:rsidRPr="004C2E98" w:rsidRDefault="00E476A8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C2E98">
      <w:rPr>
        <w:rFonts w:ascii="Times New Roman" w:hAnsi="Times New Roman" w:cs="Times New Roman"/>
        <w:sz w:val="28"/>
        <w:szCs w:val="28"/>
      </w:rPr>
      <w:fldChar w:fldCharType="begin"/>
    </w:r>
    <w:r w:rsidRPr="004C2E98">
      <w:rPr>
        <w:rFonts w:ascii="Times New Roman" w:hAnsi="Times New Roman" w:cs="Times New Roman"/>
        <w:sz w:val="28"/>
        <w:szCs w:val="28"/>
      </w:rPr>
      <w:instrText>PAGE   \* MERGEFORMAT</w:instrText>
    </w:r>
    <w:r w:rsidRPr="004C2E98">
      <w:rPr>
        <w:rFonts w:ascii="Times New Roman" w:hAnsi="Times New Roman" w:cs="Times New Roman"/>
        <w:sz w:val="28"/>
        <w:szCs w:val="28"/>
      </w:rPr>
      <w:fldChar w:fldCharType="separate"/>
    </w:r>
    <w:r w:rsidR="003263B5">
      <w:rPr>
        <w:rFonts w:ascii="Times New Roman" w:hAnsi="Times New Roman" w:cs="Times New Roman"/>
        <w:noProof/>
        <w:sz w:val="28"/>
        <w:szCs w:val="28"/>
      </w:rPr>
      <w:t>9</w:t>
    </w:r>
    <w:r w:rsidRPr="004C2E98">
      <w:rPr>
        <w:rFonts w:ascii="Times New Roman" w:hAnsi="Times New Roman" w:cs="Times New Roman"/>
        <w:sz w:val="28"/>
        <w:szCs w:val="28"/>
      </w:rPr>
      <w:fldChar w:fldCharType="end"/>
    </w:r>
  </w:p>
  <w:p w:rsidR="00E476A8" w:rsidRDefault="00E476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3E"/>
    <w:multiLevelType w:val="hybridMultilevel"/>
    <w:tmpl w:val="C526EFDA"/>
    <w:lvl w:ilvl="0" w:tplc="C76E7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9CD"/>
    <w:multiLevelType w:val="hybridMultilevel"/>
    <w:tmpl w:val="BA1A0356"/>
    <w:lvl w:ilvl="0" w:tplc="4AE81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6E89"/>
    <w:rsid w:val="000079D1"/>
    <w:rsid w:val="00031353"/>
    <w:rsid w:val="00036744"/>
    <w:rsid w:val="00047A39"/>
    <w:rsid w:val="00056F8A"/>
    <w:rsid w:val="00071C48"/>
    <w:rsid w:val="000812E6"/>
    <w:rsid w:val="000C0190"/>
    <w:rsid w:val="000C203C"/>
    <w:rsid w:val="000C28D6"/>
    <w:rsid w:val="000D182B"/>
    <w:rsid w:val="000D2403"/>
    <w:rsid w:val="000E68BA"/>
    <w:rsid w:val="000F385B"/>
    <w:rsid w:val="00101CB3"/>
    <w:rsid w:val="001478B6"/>
    <w:rsid w:val="001C5A79"/>
    <w:rsid w:val="001C7541"/>
    <w:rsid w:val="001F12C0"/>
    <w:rsid w:val="00211B50"/>
    <w:rsid w:val="00247D31"/>
    <w:rsid w:val="00264EBE"/>
    <w:rsid w:val="00292F78"/>
    <w:rsid w:val="00294F48"/>
    <w:rsid w:val="002966AC"/>
    <w:rsid w:val="00297638"/>
    <w:rsid w:val="002C76D8"/>
    <w:rsid w:val="002D5835"/>
    <w:rsid w:val="00301C98"/>
    <w:rsid w:val="00303158"/>
    <w:rsid w:val="003263B5"/>
    <w:rsid w:val="00332DCA"/>
    <w:rsid w:val="003379D6"/>
    <w:rsid w:val="00363F07"/>
    <w:rsid w:val="00386146"/>
    <w:rsid w:val="003A0AD9"/>
    <w:rsid w:val="003D3C6E"/>
    <w:rsid w:val="003D7358"/>
    <w:rsid w:val="003F2724"/>
    <w:rsid w:val="00461C0A"/>
    <w:rsid w:val="00464662"/>
    <w:rsid w:val="00466142"/>
    <w:rsid w:val="0047424D"/>
    <w:rsid w:val="0047539B"/>
    <w:rsid w:val="004C2E98"/>
    <w:rsid w:val="004C762A"/>
    <w:rsid w:val="004E7441"/>
    <w:rsid w:val="00530A2D"/>
    <w:rsid w:val="00535D6F"/>
    <w:rsid w:val="00545E21"/>
    <w:rsid w:val="0057565D"/>
    <w:rsid w:val="00594F10"/>
    <w:rsid w:val="005A684E"/>
    <w:rsid w:val="005B5046"/>
    <w:rsid w:val="005C50C6"/>
    <w:rsid w:val="005D6638"/>
    <w:rsid w:val="005D7E36"/>
    <w:rsid w:val="005E5625"/>
    <w:rsid w:val="00611818"/>
    <w:rsid w:val="00623D6B"/>
    <w:rsid w:val="00636931"/>
    <w:rsid w:val="00643113"/>
    <w:rsid w:val="00646692"/>
    <w:rsid w:val="00694968"/>
    <w:rsid w:val="006A518C"/>
    <w:rsid w:val="006B5241"/>
    <w:rsid w:val="006B5FAC"/>
    <w:rsid w:val="006F6028"/>
    <w:rsid w:val="0074218D"/>
    <w:rsid w:val="00752124"/>
    <w:rsid w:val="007566A4"/>
    <w:rsid w:val="00756E89"/>
    <w:rsid w:val="00764FE9"/>
    <w:rsid w:val="0078716A"/>
    <w:rsid w:val="00787BD9"/>
    <w:rsid w:val="00791B69"/>
    <w:rsid w:val="00794073"/>
    <w:rsid w:val="007A0A30"/>
    <w:rsid w:val="007B3210"/>
    <w:rsid w:val="007C1429"/>
    <w:rsid w:val="007C465E"/>
    <w:rsid w:val="007D2017"/>
    <w:rsid w:val="007E4C2B"/>
    <w:rsid w:val="007F6951"/>
    <w:rsid w:val="00805286"/>
    <w:rsid w:val="00807D82"/>
    <w:rsid w:val="008115DB"/>
    <w:rsid w:val="00833519"/>
    <w:rsid w:val="00840738"/>
    <w:rsid w:val="00842CAD"/>
    <w:rsid w:val="00860E1D"/>
    <w:rsid w:val="00885305"/>
    <w:rsid w:val="008959B8"/>
    <w:rsid w:val="008B402C"/>
    <w:rsid w:val="008D5BE3"/>
    <w:rsid w:val="008E15FC"/>
    <w:rsid w:val="008E1D01"/>
    <w:rsid w:val="00916252"/>
    <w:rsid w:val="009242B4"/>
    <w:rsid w:val="009304C8"/>
    <w:rsid w:val="00951611"/>
    <w:rsid w:val="009670DA"/>
    <w:rsid w:val="00975B2C"/>
    <w:rsid w:val="00987C45"/>
    <w:rsid w:val="009A2E5C"/>
    <w:rsid w:val="009C3E55"/>
    <w:rsid w:val="009D0008"/>
    <w:rsid w:val="009D201C"/>
    <w:rsid w:val="009D45CC"/>
    <w:rsid w:val="009E6861"/>
    <w:rsid w:val="009F0E5D"/>
    <w:rsid w:val="00A03168"/>
    <w:rsid w:val="00A03748"/>
    <w:rsid w:val="00A11542"/>
    <w:rsid w:val="00A43474"/>
    <w:rsid w:val="00A46020"/>
    <w:rsid w:val="00A47167"/>
    <w:rsid w:val="00A53051"/>
    <w:rsid w:val="00A5736E"/>
    <w:rsid w:val="00A60905"/>
    <w:rsid w:val="00A83FDB"/>
    <w:rsid w:val="00AB507A"/>
    <w:rsid w:val="00AE0D48"/>
    <w:rsid w:val="00B1773B"/>
    <w:rsid w:val="00B219B9"/>
    <w:rsid w:val="00B33A40"/>
    <w:rsid w:val="00B623FF"/>
    <w:rsid w:val="00B64550"/>
    <w:rsid w:val="00B812CA"/>
    <w:rsid w:val="00B943EE"/>
    <w:rsid w:val="00BB5F21"/>
    <w:rsid w:val="00BB6D39"/>
    <w:rsid w:val="00BD6C64"/>
    <w:rsid w:val="00C65543"/>
    <w:rsid w:val="00C73D5D"/>
    <w:rsid w:val="00C8012D"/>
    <w:rsid w:val="00C95B99"/>
    <w:rsid w:val="00CA302A"/>
    <w:rsid w:val="00CA513F"/>
    <w:rsid w:val="00CD0483"/>
    <w:rsid w:val="00CE15EF"/>
    <w:rsid w:val="00D05708"/>
    <w:rsid w:val="00D0631F"/>
    <w:rsid w:val="00D3489F"/>
    <w:rsid w:val="00D46AD9"/>
    <w:rsid w:val="00D51D13"/>
    <w:rsid w:val="00D93292"/>
    <w:rsid w:val="00DD7ED0"/>
    <w:rsid w:val="00DE22B9"/>
    <w:rsid w:val="00E20988"/>
    <w:rsid w:val="00E476A8"/>
    <w:rsid w:val="00E6306D"/>
    <w:rsid w:val="00E84BF6"/>
    <w:rsid w:val="00EB0B77"/>
    <w:rsid w:val="00EB7BEE"/>
    <w:rsid w:val="00EF7813"/>
    <w:rsid w:val="00F17A89"/>
    <w:rsid w:val="00F205A2"/>
    <w:rsid w:val="00F3779D"/>
    <w:rsid w:val="00F55948"/>
    <w:rsid w:val="00F572D0"/>
    <w:rsid w:val="00F76A4D"/>
    <w:rsid w:val="00FB1F2B"/>
    <w:rsid w:val="00FD1B8B"/>
    <w:rsid w:val="00FD7FD5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646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E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56E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6E89"/>
    <w:rPr>
      <w:rFonts w:cs="Times New Roman"/>
    </w:rPr>
  </w:style>
  <w:style w:type="character" w:styleId="a6">
    <w:name w:val="Hyperlink"/>
    <w:basedOn w:val="a0"/>
    <w:uiPriority w:val="99"/>
    <w:rsid w:val="00756E8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56E89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0374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3748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464662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uiPriority w:val="22"/>
    <w:qFormat/>
    <w:locked/>
    <w:rsid w:val="00264EBE"/>
    <w:rPr>
      <w:b/>
      <w:bCs/>
    </w:rPr>
  </w:style>
  <w:style w:type="character" w:customStyle="1" w:styleId="dropdown-user-name">
    <w:name w:val="dropdown-user-name"/>
    <w:basedOn w:val="a0"/>
    <w:rsid w:val="00A5736E"/>
  </w:style>
  <w:style w:type="character" w:customStyle="1" w:styleId="dropdown-user-namefirst-letter">
    <w:name w:val="dropdown-user-name__first-letter"/>
    <w:basedOn w:val="a0"/>
    <w:rsid w:val="00A5736E"/>
  </w:style>
  <w:style w:type="paragraph" w:styleId="ab">
    <w:name w:val="Body Text Indent"/>
    <w:basedOn w:val="a"/>
    <w:link w:val="ac"/>
    <w:rsid w:val="008959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959B8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C73D5D"/>
    <w:rPr>
      <w:rFonts w:ascii="Times New Roman" w:eastAsia="Times New Roman" w:hAnsi="Times New Roman"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9C3E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3E5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744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f">
    <w:name w:val="Subtitle"/>
    <w:basedOn w:val="a"/>
    <w:next w:val="a"/>
    <w:link w:val="af0"/>
    <w:qFormat/>
    <w:locked/>
    <w:rsid w:val="00C655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C65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"/>
    <w:rsid w:val="00CA513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1"/>
    <w:rsid w:val="00CA513F"/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">
    <w:name w:val="Основной текст1"/>
    <w:basedOn w:val="a"/>
    <w:link w:val="af1"/>
    <w:rsid w:val="00CA513F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WW-Absatz-Standardschriftart11">
    <w:name w:val="WW-Absatz-Standardschriftart11"/>
    <w:rsid w:val="001C5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8D8D8"/>
            <w:right w:val="none" w:sz="0" w:space="0" w:color="auto"/>
          </w:divBdr>
        </w:div>
      </w:divsChild>
    </w:div>
    <w:div w:id="963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009483FB991FDAB40BD804BD85879EA0AF43B55A64ED4604EE2D7C05B000CE05216179CBB466592A4669FE1B7535A67AF296F0710254Z6fEM" TargetMode="External"/><Relationship Id="rId13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7F9470B2611D7BBB976840BA3AFBD7531BA16670353C416AD0A113875596D5E113517B9F8449EE04BCE0BBDD379E125DBD23B1D566DE86tDI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7F9470B2611D7BBB976840BA3AFBD75212A46F7C313C416AD0A113875596D5E11351799E8742BB55F3E1E799618D125CBD21B3C9t6I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12D52D7CBBF71F111AB9F317DA507B05B9A6A03BF3F73504703655677C734346978249C53114E366D164B512AAs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D52D7CBBF71F111AB9F317DA507B05B9A6A03BF3F73504703655677C734346978249C53114E366D164B512AAs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6910-F26C-438C-99F7-42563BF6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1826</Words>
  <Characters>16377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2017-07-28T05:56:00Z</cp:lastPrinted>
  <dcterms:created xsi:type="dcterms:W3CDTF">2020-11-10T07:19:00Z</dcterms:created>
  <dcterms:modified xsi:type="dcterms:W3CDTF">2022-04-06T11:36:00Z</dcterms:modified>
</cp:coreProperties>
</file>